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27" w:rsidRDefault="000076BB" w:rsidP="007B2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01B3F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proofErr w:type="spellEnd"/>
      <w:r w:rsidRPr="00EE1B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B61" w:rsidRDefault="000076BB" w:rsidP="007B2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727">
        <w:rPr>
          <w:rFonts w:ascii="Times New Roman" w:hAnsi="Times New Roman" w:cs="Times New Roman"/>
          <w:b/>
          <w:sz w:val="28"/>
          <w:szCs w:val="28"/>
          <w:lang w:val="uk-UA"/>
        </w:rPr>
        <w:t>про оприлюднення проєкту регуляторного акту – рішення сесії Кегичівської селищної ради «</w:t>
      </w:r>
      <w:r w:rsidR="00EE1B61" w:rsidRPr="007B272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Порядку визначення розміру плати за тимчасове</w:t>
      </w:r>
      <w:r w:rsidR="00EE1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E1B61" w:rsidRPr="007B272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користування місцем розташування рекламних засобів на території</w:t>
      </w:r>
      <w:r w:rsidR="00EE1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E1B61" w:rsidRPr="007B272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Кегичівської селищної ради</w:t>
      </w:r>
      <w:r w:rsidRPr="007B272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B2727" w:rsidRPr="007B2727" w:rsidRDefault="007B2727" w:rsidP="007B272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uk-UA" w:eastAsia="uk-UA"/>
        </w:rPr>
      </w:pPr>
    </w:p>
    <w:p w:rsidR="007B2727" w:rsidRPr="00FB243F" w:rsidRDefault="000076BB" w:rsidP="00FB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43F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 повідомляє, що розроблений регуляторний акт – проєкт рішення сесії Кегичівської селищної ради «</w:t>
      </w:r>
      <w:r w:rsidR="007B2727" w:rsidRPr="00FB243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визначення розміру плати за тимчасове користування місцем розташування рекламних засобів на території Кегичівської селищної ради</w:t>
      </w:r>
      <w:r w:rsidRPr="00FB243F">
        <w:rPr>
          <w:rFonts w:ascii="Times New Roman" w:hAnsi="Times New Roman" w:cs="Times New Roman"/>
          <w:sz w:val="28"/>
          <w:szCs w:val="28"/>
          <w:lang w:val="uk-UA"/>
        </w:rPr>
        <w:t>». Вищезазначений регуляторний акт розроблений на виконання вимог Закону України «Про місцеве самоврядування в Україні», Закону України «Про засади державної регуляторної політики у сфері господарської діяльності від 11 вересня 2003 року №1160/</w:t>
      </w:r>
      <w:r w:rsidRPr="00FB243F">
        <w:rPr>
          <w:rFonts w:ascii="Times New Roman" w:hAnsi="Times New Roman" w:cs="Times New Roman"/>
          <w:sz w:val="28"/>
          <w:szCs w:val="28"/>
        </w:rPr>
        <w:t>IV</w:t>
      </w:r>
      <w:r w:rsidRPr="00FB243F">
        <w:rPr>
          <w:rFonts w:ascii="Times New Roman" w:hAnsi="Times New Roman" w:cs="Times New Roman"/>
          <w:sz w:val="28"/>
          <w:szCs w:val="28"/>
          <w:lang w:val="uk-UA"/>
        </w:rPr>
        <w:t xml:space="preserve"> та Методики проведення аналізу впливу регуляторного акту, затвердженої постановою КМУ від 11 березня 2004 року №308, та визначає правові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B243F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організаційні засади реалізації проєкту рішення Кегичівської селищної ради «</w:t>
      </w:r>
      <w:r w:rsidR="007B2727" w:rsidRPr="00FB243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визначення розміру плати за тимчасове користування місцем розташування рекламних засобів на території Кегичівської селищної ради</w:t>
      </w:r>
      <w:r w:rsidRPr="00FB243F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7B2727" w:rsidRPr="00FB243F" w:rsidRDefault="000076BB" w:rsidP="00FB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43F">
        <w:rPr>
          <w:rFonts w:ascii="Times New Roman" w:hAnsi="Times New Roman" w:cs="Times New Roman"/>
          <w:sz w:val="28"/>
          <w:szCs w:val="28"/>
          <w:lang w:val="uk-UA"/>
        </w:rPr>
        <w:t>Метою прийняття даного регуляторного акту є</w:t>
      </w:r>
      <w:r w:rsidR="007B2727" w:rsidRPr="00FB243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B2727" w:rsidRPr="00FB243F" w:rsidRDefault="000076BB" w:rsidP="00FB243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243F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єдиних умов </w:t>
      </w:r>
      <w:r w:rsidR="007B2727" w:rsidRPr="00FB2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розміщення зовнішньої реклами на території</w:t>
      </w:r>
      <w:r w:rsidR="007B2727" w:rsidRPr="00FB24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Кегичівської селищної ради, </w:t>
      </w:r>
      <w:r w:rsidR="007B2727" w:rsidRPr="00FB2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законів України «Про рекламу», «Про засади державної регуляторної політики у сфері господарської діяльності», «Про дозвільну систему у сфері господарської діяльності», «Про благоустрій населених пунктів», постанови Кабінету Міністрів України від 29 грудня 2003 року № 2067 «Про затвердження Типових правил розміщення зовнішньої реклами»</w:t>
      </w:r>
      <w:r w:rsidR="007B2727" w:rsidRPr="00FB243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243F" w:rsidRPr="00FB243F" w:rsidRDefault="000076BB" w:rsidP="00FB243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727"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</w:t>
      </w:r>
      <w:r w:rsid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ення</w:t>
      </w:r>
      <w:r w:rsidR="007B2727"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удосконалення процедури регулювання надання дозволів на розміщення зовнішньої реклами та додержання прав та інтересів суб’єктів господарювання </w:t>
      </w:r>
      <w:r w:rsidR="007B2727" w:rsidRPr="007B2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розміщенні окремих видів реклами шляхом визначення соціально справедливого розміру плати за користування місцем розташування </w:t>
      </w:r>
      <w:r w:rsidR="007B2727"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рекламних засобів</w:t>
      </w:r>
      <w:r w:rsidR="00FB243F"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7B2727" w:rsidRPr="00FB243F" w:rsidRDefault="00FB243F" w:rsidP="00FB243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ження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порушень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спостерігаються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розміщенні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рекламних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боку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243F" w:rsidRPr="00FB243F" w:rsidRDefault="00FB243F" w:rsidP="00FB243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додаткових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надходжень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селищного 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плати за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місцем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перебуває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комунальній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ласності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селищної ради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рекламних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2EF5" w:rsidRPr="00FB243F" w:rsidRDefault="000076BB" w:rsidP="00FB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та проєкт </w:t>
      </w:r>
      <w:proofErr w:type="spellStart"/>
      <w:proofErr w:type="gramStart"/>
      <w:r w:rsidRPr="00FB24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243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оприлюднені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Кегичівської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ради https://kegich-rada.com.ua.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надсилати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: 64003,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Волошина, 50, селище Кегичівка,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Харківська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область та на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адресу: kegirada@ukr.net.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проєкту регуляторного акту та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ради – http://kegichivskaselrada.gov.ua в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Регуляторна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>».</w:t>
      </w:r>
    </w:p>
    <w:sectPr w:rsidR="002A2EF5" w:rsidRPr="00FB243F" w:rsidSect="002A2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???????????????Ўм§А?§ЮЎм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4D1"/>
    <w:multiLevelType w:val="hybridMultilevel"/>
    <w:tmpl w:val="4F8E7BAE"/>
    <w:lvl w:ilvl="0" w:tplc="846E05F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6BB"/>
    <w:rsid w:val="000076BB"/>
    <w:rsid w:val="00027EC4"/>
    <w:rsid w:val="0005565C"/>
    <w:rsid w:val="00061272"/>
    <w:rsid w:val="000B1B81"/>
    <w:rsid w:val="00121825"/>
    <w:rsid w:val="001379D1"/>
    <w:rsid w:val="00191F3D"/>
    <w:rsid w:val="001A1A15"/>
    <w:rsid w:val="001B33AF"/>
    <w:rsid w:val="00267373"/>
    <w:rsid w:val="002A2EF5"/>
    <w:rsid w:val="002E4516"/>
    <w:rsid w:val="00301B3F"/>
    <w:rsid w:val="003854B2"/>
    <w:rsid w:val="003F5144"/>
    <w:rsid w:val="00405E51"/>
    <w:rsid w:val="00423D08"/>
    <w:rsid w:val="004602CA"/>
    <w:rsid w:val="004670F1"/>
    <w:rsid w:val="00537E64"/>
    <w:rsid w:val="00553CEB"/>
    <w:rsid w:val="005855E5"/>
    <w:rsid w:val="00632CE4"/>
    <w:rsid w:val="006559AD"/>
    <w:rsid w:val="006D5CE1"/>
    <w:rsid w:val="00766014"/>
    <w:rsid w:val="007B2727"/>
    <w:rsid w:val="0082067D"/>
    <w:rsid w:val="00851ADC"/>
    <w:rsid w:val="00886FF1"/>
    <w:rsid w:val="008B410A"/>
    <w:rsid w:val="008C6F9F"/>
    <w:rsid w:val="008F2C5D"/>
    <w:rsid w:val="00963194"/>
    <w:rsid w:val="00986211"/>
    <w:rsid w:val="00996529"/>
    <w:rsid w:val="009A0ACD"/>
    <w:rsid w:val="009D4E79"/>
    <w:rsid w:val="00A52048"/>
    <w:rsid w:val="00B616A3"/>
    <w:rsid w:val="00BA0777"/>
    <w:rsid w:val="00C479FE"/>
    <w:rsid w:val="00C62BA3"/>
    <w:rsid w:val="00C95958"/>
    <w:rsid w:val="00CA3079"/>
    <w:rsid w:val="00CF3B6A"/>
    <w:rsid w:val="00DB4735"/>
    <w:rsid w:val="00EE1B61"/>
    <w:rsid w:val="00F16F18"/>
    <w:rsid w:val="00FB243F"/>
    <w:rsid w:val="00FE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2024-09-16T15:12:00Z</dcterms:created>
  <dcterms:modified xsi:type="dcterms:W3CDTF">2024-09-17T16:01:00Z</dcterms:modified>
</cp:coreProperties>
</file>